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465" w:rsidRDefault="00A22465" w:rsidP="00A22465">
      <w:pPr>
        <w:spacing w:line="480" w:lineRule="auto"/>
      </w:pPr>
    </w:p>
    <w:p w:rsidR="00A22465" w:rsidRDefault="00A22465" w:rsidP="00A22465">
      <w:pPr>
        <w:spacing w:line="480" w:lineRule="auto"/>
      </w:pPr>
    </w:p>
    <w:p w:rsidR="00A22465" w:rsidRDefault="00A22465" w:rsidP="00A22465">
      <w:pPr>
        <w:spacing w:line="480" w:lineRule="auto"/>
      </w:pPr>
      <w:bookmarkStart w:id="0" w:name="_GoBack"/>
      <w:bookmarkEnd w:id="0"/>
    </w:p>
    <w:p w:rsidR="00A22465" w:rsidRDefault="00A22465" w:rsidP="00A22465">
      <w:pPr>
        <w:spacing w:line="480" w:lineRule="auto"/>
      </w:pPr>
    </w:p>
    <w:p w:rsidR="00A22465" w:rsidRDefault="00A22465" w:rsidP="00A22465">
      <w:pPr>
        <w:spacing w:line="480" w:lineRule="auto"/>
      </w:pPr>
    </w:p>
    <w:p w:rsidR="00A22465" w:rsidRDefault="00A22465" w:rsidP="00A22465">
      <w:pPr>
        <w:spacing w:line="480" w:lineRule="auto"/>
      </w:pPr>
    </w:p>
    <w:p w:rsidR="00A22465" w:rsidRDefault="00A22465" w:rsidP="00A22465">
      <w:pPr>
        <w:spacing w:line="480" w:lineRule="auto"/>
      </w:pPr>
    </w:p>
    <w:p w:rsidR="00A22465" w:rsidRDefault="00A22465" w:rsidP="00A22465">
      <w:pPr>
        <w:spacing w:line="480" w:lineRule="auto"/>
        <w:jc w:val="center"/>
      </w:pPr>
      <w:r>
        <w:t>The Sarbanes-Oxley Act</w:t>
      </w:r>
    </w:p>
    <w:p w:rsidR="00A22465" w:rsidRDefault="00A22465" w:rsidP="00A22465">
      <w:pPr>
        <w:spacing w:line="480" w:lineRule="auto"/>
        <w:jc w:val="center"/>
      </w:pPr>
      <w:r>
        <w:t>Student’s Name</w:t>
      </w:r>
    </w:p>
    <w:p w:rsidR="00A22465" w:rsidRDefault="00A22465" w:rsidP="00A22465">
      <w:pPr>
        <w:spacing w:line="480" w:lineRule="auto"/>
        <w:jc w:val="center"/>
      </w:pPr>
      <w:r>
        <w:t>Institutional Affiliation</w:t>
      </w:r>
    </w:p>
    <w:p w:rsidR="00A22465" w:rsidRDefault="00A22465" w:rsidP="00A22465">
      <w:pPr>
        <w:spacing w:line="480" w:lineRule="auto"/>
      </w:pPr>
    </w:p>
    <w:p w:rsidR="00A22465" w:rsidRDefault="00A22465" w:rsidP="00A22465">
      <w:pPr>
        <w:spacing w:line="480" w:lineRule="auto"/>
      </w:pPr>
    </w:p>
    <w:p w:rsidR="00A22465" w:rsidRDefault="00A22465" w:rsidP="00A22465">
      <w:pPr>
        <w:spacing w:line="480" w:lineRule="auto"/>
      </w:pPr>
    </w:p>
    <w:p w:rsidR="00A22465" w:rsidRDefault="00A22465" w:rsidP="00A22465">
      <w:pPr>
        <w:spacing w:line="480" w:lineRule="auto"/>
      </w:pPr>
    </w:p>
    <w:p w:rsidR="00A22465" w:rsidRDefault="00A22465" w:rsidP="00A22465">
      <w:pPr>
        <w:spacing w:line="480" w:lineRule="auto"/>
      </w:pPr>
    </w:p>
    <w:p w:rsidR="00A22465" w:rsidRDefault="00A22465" w:rsidP="00A22465">
      <w:pPr>
        <w:spacing w:line="480" w:lineRule="auto"/>
      </w:pPr>
    </w:p>
    <w:p w:rsidR="00A22465" w:rsidRDefault="00A22465" w:rsidP="00A22465">
      <w:pPr>
        <w:spacing w:line="480" w:lineRule="auto"/>
      </w:pPr>
    </w:p>
    <w:p w:rsidR="00A22465" w:rsidRDefault="00A22465" w:rsidP="00A22465">
      <w:pPr>
        <w:spacing w:line="480" w:lineRule="auto"/>
      </w:pPr>
    </w:p>
    <w:p w:rsidR="002B6F7A" w:rsidRPr="00A22465" w:rsidRDefault="002B6F7A" w:rsidP="00A22465">
      <w:pPr>
        <w:spacing w:line="480" w:lineRule="auto"/>
        <w:jc w:val="center"/>
        <w:rPr>
          <w:b/>
        </w:rPr>
      </w:pPr>
      <w:r w:rsidRPr="00A22465">
        <w:rPr>
          <w:b/>
        </w:rPr>
        <w:lastRenderedPageBreak/>
        <w:t>The Sarbanes-Oxley Act</w:t>
      </w:r>
    </w:p>
    <w:p w:rsidR="002B6F7A" w:rsidRDefault="002B6F7A" w:rsidP="00A22465">
      <w:pPr>
        <w:spacing w:line="480" w:lineRule="auto"/>
        <w:ind w:firstLine="720"/>
      </w:pPr>
      <w:r>
        <w:t xml:space="preserve">The Sarbanes-Oxley Act was enacted in 2002 and it contains rules requiring every annual report from a company, apart from a registered investment firm, to have a report on internal control (Holt, 2008). The changes from the internal control must contain; first, the management’s role in the establishment and maintenance of enough internal controls for financial reporting. </w:t>
      </w:r>
      <w:proofErr w:type="gramStart"/>
      <w:r>
        <w:t>Second, a statement that identifies the framework, which the management uses to evaluate the efficiency and effectiveness of the internal control.</w:t>
      </w:r>
      <w:proofErr w:type="gramEnd"/>
      <w:r>
        <w:t xml:space="preserve"> Third, an assessment by the management of the internal controls effectiveness at the end of the financial year, and an auditor’s statement confirming the management assessment. </w:t>
      </w:r>
    </w:p>
    <w:p w:rsidR="002B6F7A" w:rsidRDefault="002B6F7A" w:rsidP="00A22465">
      <w:pPr>
        <w:spacing w:line="480" w:lineRule="auto"/>
        <w:ind w:firstLine="720"/>
      </w:pPr>
      <w:r>
        <w:t xml:space="preserve">The new changes in internal controls are considered controversial and they have triggered different views and expressions from the accountants and the management. </w:t>
      </w:r>
    </w:p>
    <w:p w:rsidR="002B6F7A" w:rsidRDefault="002B6F7A" w:rsidP="00A22465">
      <w:pPr>
        <w:spacing w:line="480" w:lineRule="auto"/>
        <w:ind w:firstLine="720"/>
      </w:pPr>
      <w:r>
        <w:t xml:space="preserve">The management has the view that the changes are not necessary because of the huge costs of compliance. Research has shown that the costs of compliance with the rules in the Act are approximately 1% the company revenues. The management has also complained that compliance increases the total fees paid to the auditors. For instance, a survey conducted showed an increase of the audit fees by approximately 189% in companies in Standard &amp; Poor’s 500, 251% for companies in Standard &amp; Poor’s Mid-cap firms, and 311% for companies in the Small-cap group (Holt, 2008). The management has the view that the benefits of the new rules and changes cannot outweigh the implementation and compliance costs. Moreover, the management is concerned with the time required for the internal control assessment and certifications reporting. The companies suffered the loss of time as a resource with some forced to delay or cancel important strategic decisions to dedicate time for compliance (Holt, 2008). From the </w:t>
      </w:r>
      <w:r>
        <w:lastRenderedPageBreak/>
        <w:t xml:space="preserve">management point, the changes have no benefits rather they have imposed unnecessary costs on companies. </w:t>
      </w:r>
    </w:p>
    <w:p w:rsidR="002B6F7A" w:rsidRDefault="002B6F7A" w:rsidP="00A22465">
      <w:pPr>
        <w:spacing w:line="480" w:lineRule="auto"/>
        <w:ind w:firstLine="720"/>
      </w:pPr>
      <w:r>
        <w:t>The accountants have expressed a different view even though they also oppose the changes at some point. Majority of accountants support the changes because they ensure sufficient internal controls, which encourage accountability, transparency, and accuracy in the company’s financial transactions and reporting (</w:t>
      </w:r>
      <w:proofErr w:type="spellStart"/>
      <w:r>
        <w:t>Jahmani</w:t>
      </w:r>
      <w:proofErr w:type="spellEnd"/>
      <w:r>
        <w:t>, 2008). The changes have also encouraged continuous engagement of the accountants and auditors thus giving relevance to the profession. For this reason, the accountants have shown some support for the changes and encouraged continuous compliance by the management. However, the accounts have also criticized the changes as too complex and involving in their duties. They argue that the changes have increased the burden in the department in balancing priorities, and the additional time needed for increased reporting and documentation requirements (</w:t>
      </w:r>
      <w:proofErr w:type="spellStart"/>
      <w:r>
        <w:t>Jahmani</w:t>
      </w:r>
      <w:proofErr w:type="spellEnd"/>
      <w:r>
        <w:t xml:space="preserve">, 2008). The work is intense for accountants especially in companies reluctant to recruit more accountants to reduce the workload in the accounting department. </w:t>
      </w:r>
    </w:p>
    <w:p w:rsidR="002B6F7A" w:rsidRDefault="002B6F7A" w:rsidP="00A22465">
      <w:pPr>
        <w:spacing w:line="480" w:lineRule="auto"/>
        <w:ind w:firstLine="720"/>
      </w:pPr>
      <w:r>
        <w:t xml:space="preserve">The Act has positive effects for corporations, audit </w:t>
      </w:r>
      <w:proofErr w:type="gramStart"/>
      <w:r>
        <w:t>firms</w:t>
      </w:r>
      <w:proofErr w:type="gramEnd"/>
      <w:r>
        <w:t xml:space="preserve"> and investors. Transparency in corporations has been improved because of the difficulty in company massive fraud, the invention of fictitious sales and concealing losses (Sweeney, 2012). The introduction of internal controls has ensured that corporations’ financial reporting is updated and adequate monitoring of finances. Audit firms have become stronger due to the regulation from the Public Accounting Oversight Board created by the Act, and the independence they have from the rules of the Act. The investors have received protection from the act by requiring reliable and accurate corporate disclosures. The Act has concealed many loopholes of fraud in corporates, ensuring the safety of the investors’ funds (Sweeney, 2012). </w:t>
      </w:r>
    </w:p>
    <w:p w:rsidR="002B6F7A" w:rsidRDefault="002B6F7A" w:rsidP="00A22465">
      <w:pPr>
        <w:spacing w:line="480" w:lineRule="auto"/>
        <w:jc w:val="center"/>
      </w:pPr>
      <w:r>
        <w:lastRenderedPageBreak/>
        <w:t>References</w:t>
      </w:r>
    </w:p>
    <w:p w:rsidR="002B6F7A" w:rsidRDefault="002B6F7A" w:rsidP="00A22465">
      <w:pPr>
        <w:spacing w:line="480" w:lineRule="auto"/>
        <w:ind w:left="720" w:hanging="720"/>
      </w:pPr>
      <w:r>
        <w:t xml:space="preserve">Holt, M. F. (2008). </w:t>
      </w:r>
      <w:r w:rsidRPr="00A22465">
        <w:rPr>
          <w:i/>
        </w:rPr>
        <w:t xml:space="preserve">The Sarbanes-Oxley Act: costs, </w:t>
      </w:r>
      <w:proofErr w:type="gramStart"/>
      <w:r w:rsidRPr="00A22465">
        <w:rPr>
          <w:i/>
        </w:rPr>
        <w:t>benefits</w:t>
      </w:r>
      <w:proofErr w:type="gramEnd"/>
      <w:r w:rsidRPr="00A22465">
        <w:rPr>
          <w:i/>
        </w:rPr>
        <w:t xml:space="preserve"> and business impact</w:t>
      </w:r>
      <w:r>
        <w:t>. Boston: CIMA.</w:t>
      </w:r>
    </w:p>
    <w:p w:rsidR="002B6F7A" w:rsidRDefault="00A22465" w:rsidP="00A22465">
      <w:pPr>
        <w:spacing w:line="480" w:lineRule="auto"/>
        <w:ind w:left="720" w:hanging="720"/>
      </w:pPr>
      <w:proofErr w:type="spellStart"/>
      <w:r>
        <w:t>Jahmani</w:t>
      </w:r>
      <w:proofErr w:type="spellEnd"/>
      <w:r>
        <w:t>, Y.</w:t>
      </w:r>
      <w:r w:rsidR="002B6F7A">
        <w:t xml:space="preserve"> (2008). </w:t>
      </w:r>
      <w:proofErr w:type="gramStart"/>
      <w:r w:rsidR="002B6F7A">
        <w:t xml:space="preserve">The Impact </w:t>
      </w:r>
      <w:r>
        <w:t>of</w:t>
      </w:r>
      <w:r w:rsidR="002B6F7A">
        <w:t xml:space="preserve"> Sarbanes - Oxley Ac. </w:t>
      </w:r>
      <w:r w:rsidR="002B6F7A" w:rsidRPr="00A22465">
        <w:rPr>
          <w:i/>
        </w:rPr>
        <w:t xml:space="preserve">Journal </w:t>
      </w:r>
      <w:r w:rsidRPr="00A22465">
        <w:rPr>
          <w:i/>
        </w:rPr>
        <w:t>of</w:t>
      </w:r>
      <w:r w:rsidR="002B6F7A" w:rsidRPr="00A22465">
        <w:rPr>
          <w:i/>
        </w:rPr>
        <w:t xml:space="preserve"> Business &amp; Economics Research,</w:t>
      </w:r>
      <w:r w:rsidR="002B6F7A">
        <w:t xml:space="preserve"> 6(10).</w:t>
      </w:r>
      <w:proofErr w:type="gramEnd"/>
      <w:r w:rsidR="002B6F7A">
        <w:t xml:space="preserve"> </w:t>
      </w:r>
    </w:p>
    <w:p w:rsidR="002B6F7A" w:rsidRPr="002B6F7A" w:rsidRDefault="002B6F7A" w:rsidP="00A22465">
      <w:pPr>
        <w:spacing w:line="480" w:lineRule="auto"/>
        <w:ind w:left="720" w:hanging="720"/>
      </w:pPr>
      <w:r>
        <w:t xml:space="preserve">Sweeney, P. (2012). </w:t>
      </w:r>
      <w:proofErr w:type="gramStart"/>
      <w:r>
        <w:t>Sweeney</w:t>
      </w:r>
      <w:r w:rsidRPr="00A22465">
        <w:rPr>
          <w:i/>
        </w:rPr>
        <w:t>.</w:t>
      </w:r>
      <w:proofErr w:type="gramEnd"/>
      <w:r w:rsidRPr="00A22465">
        <w:rPr>
          <w:i/>
        </w:rPr>
        <w:t xml:space="preserve"> </w:t>
      </w:r>
      <w:proofErr w:type="gramStart"/>
      <w:r w:rsidRPr="00A22465">
        <w:rPr>
          <w:i/>
        </w:rPr>
        <w:t>Financial Executive</w:t>
      </w:r>
      <w:r>
        <w:t>.</w:t>
      </w:r>
      <w:proofErr w:type="gramEnd"/>
      <w:r>
        <w:t xml:space="preserve"> Retrieved from http://www.financialexecutives.org/KenticoCMS/Financial-Executive- Magazine/2012_07/Sarbanes-Oxley--A-Decade-Later.aspx#axzz46BU8tyts</w:t>
      </w:r>
    </w:p>
    <w:sectPr w:rsidR="002B6F7A" w:rsidRPr="002B6F7A" w:rsidSect="00A2246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13E2" w:rsidRDefault="008413E2" w:rsidP="00A22465">
      <w:pPr>
        <w:spacing w:after="0" w:line="240" w:lineRule="auto"/>
      </w:pPr>
      <w:r>
        <w:separator/>
      </w:r>
    </w:p>
  </w:endnote>
  <w:endnote w:type="continuationSeparator" w:id="0">
    <w:p w:rsidR="008413E2" w:rsidRDefault="008413E2" w:rsidP="00A22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A49" w:rsidRDefault="00FD7A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A49" w:rsidRDefault="00FD7A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A49" w:rsidRDefault="00FD7A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13E2" w:rsidRDefault="008413E2" w:rsidP="00A22465">
      <w:pPr>
        <w:spacing w:after="0" w:line="240" w:lineRule="auto"/>
      </w:pPr>
      <w:r>
        <w:separator/>
      </w:r>
    </w:p>
  </w:footnote>
  <w:footnote w:type="continuationSeparator" w:id="0">
    <w:p w:rsidR="008413E2" w:rsidRDefault="008413E2" w:rsidP="00A224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A49" w:rsidRDefault="00FD7A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465" w:rsidRDefault="00A22465">
    <w:pPr>
      <w:pStyle w:val="Header"/>
      <w:jc w:val="right"/>
    </w:pPr>
    <w:r>
      <w:t>THE SARBANES-OXLEY ACT</w:t>
    </w:r>
    <w:sdt>
      <w:sdtPr>
        <w:id w:val="1275058489"/>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FD7A49">
          <w:rPr>
            <w:noProof/>
          </w:rPr>
          <w:t>4</w:t>
        </w:r>
        <w:r>
          <w:rPr>
            <w:noProof/>
          </w:rPr>
          <w:fldChar w:fldCharType="end"/>
        </w:r>
      </w:sdtContent>
    </w:sdt>
  </w:p>
  <w:p w:rsidR="00A22465" w:rsidRDefault="00A224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465" w:rsidRDefault="00A22465">
    <w:pPr>
      <w:pStyle w:val="Header"/>
      <w:jc w:val="right"/>
    </w:pPr>
    <w:r>
      <w:t xml:space="preserve">Running head: THE SARBANES-OXLEY ACT </w:t>
    </w:r>
    <w:r>
      <w:tab/>
    </w:r>
    <w:sdt>
      <w:sdtPr>
        <w:id w:val="21019072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D7A49">
          <w:rPr>
            <w:noProof/>
          </w:rPr>
          <w:t>1</w:t>
        </w:r>
        <w:r>
          <w:rPr>
            <w:noProof/>
          </w:rPr>
          <w:fldChar w:fldCharType="end"/>
        </w:r>
      </w:sdtContent>
    </w:sdt>
  </w:p>
  <w:p w:rsidR="00A22465" w:rsidRDefault="00A224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E06"/>
    <w:rsid w:val="002B6F7A"/>
    <w:rsid w:val="00382751"/>
    <w:rsid w:val="008413E2"/>
    <w:rsid w:val="009576B2"/>
    <w:rsid w:val="00995B7C"/>
    <w:rsid w:val="00A22465"/>
    <w:rsid w:val="00B40E72"/>
    <w:rsid w:val="00B76E06"/>
    <w:rsid w:val="00BB42A6"/>
    <w:rsid w:val="00D86674"/>
    <w:rsid w:val="00EF7848"/>
    <w:rsid w:val="00FD7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B6F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F7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B6F7A"/>
  </w:style>
  <w:style w:type="paragraph" w:styleId="Header">
    <w:name w:val="header"/>
    <w:basedOn w:val="Normal"/>
    <w:link w:val="HeaderChar"/>
    <w:uiPriority w:val="99"/>
    <w:unhideWhenUsed/>
    <w:rsid w:val="00A22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465"/>
  </w:style>
  <w:style w:type="paragraph" w:styleId="Footer">
    <w:name w:val="footer"/>
    <w:basedOn w:val="Normal"/>
    <w:link w:val="FooterChar"/>
    <w:uiPriority w:val="99"/>
    <w:unhideWhenUsed/>
    <w:rsid w:val="00A22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4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B6F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F7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B6F7A"/>
  </w:style>
  <w:style w:type="paragraph" w:styleId="Header">
    <w:name w:val="header"/>
    <w:basedOn w:val="Normal"/>
    <w:link w:val="HeaderChar"/>
    <w:uiPriority w:val="99"/>
    <w:unhideWhenUsed/>
    <w:rsid w:val="00A22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465"/>
  </w:style>
  <w:style w:type="paragraph" w:styleId="Footer">
    <w:name w:val="footer"/>
    <w:basedOn w:val="Normal"/>
    <w:link w:val="FooterChar"/>
    <w:uiPriority w:val="99"/>
    <w:unhideWhenUsed/>
    <w:rsid w:val="00A22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467528">
      <w:bodyDiv w:val="1"/>
      <w:marLeft w:val="0"/>
      <w:marRight w:val="0"/>
      <w:marTop w:val="0"/>
      <w:marBottom w:val="0"/>
      <w:divBdr>
        <w:top w:val="none" w:sz="0" w:space="0" w:color="auto"/>
        <w:left w:val="none" w:sz="0" w:space="0" w:color="auto"/>
        <w:bottom w:val="none" w:sz="0" w:space="0" w:color="auto"/>
        <w:right w:val="none" w:sz="0" w:space="0" w:color="auto"/>
      </w:divBdr>
    </w:div>
    <w:div w:id="317921091">
      <w:bodyDiv w:val="1"/>
      <w:marLeft w:val="0"/>
      <w:marRight w:val="0"/>
      <w:marTop w:val="0"/>
      <w:marBottom w:val="0"/>
      <w:divBdr>
        <w:top w:val="none" w:sz="0" w:space="0" w:color="auto"/>
        <w:left w:val="none" w:sz="0" w:space="0" w:color="auto"/>
        <w:bottom w:val="none" w:sz="0" w:space="0" w:color="auto"/>
        <w:right w:val="none" w:sz="0" w:space="0" w:color="auto"/>
      </w:divBdr>
    </w:div>
    <w:div w:id="695351169">
      <w:bodyDiv w:val="1"/>
      <w:marLeft w:val="0"/>
      <w:marRight w:val="0"/>
      <w:marTop w:val="0"/>
      <w:marBottom w:val="0"/>
      <w:divBdr>
        <w:top w:val="none" w:sz="0" w:space="0" w:color="auto"/>
        <w:left w:val="none" w:sz="0" w:space="0" w:color="auto"/>
        <w:bottom w:val="none" w:sz="0" w:space="0" w:color="auto"/>
        <w:right w:val="none" w:sz="0" w:space="0" w:color="auto"/>
      </w:divBdr>
    </w:div>
    <w:div w:id="88009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3666</Characters>
  <Application>Microsoft Office Word</Application>
  <DocSecurity>0</DocSecurity>
  <Lines>30</Lines>
  <Paragraphs>8</Paragraphs>
  <ScaleCrop>false</ScaleCrop>
  <LinksUpToDate>false</LinksUpToDate>
  <CharactersWithSpaces>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2018-10-02T09:08:00Z</dcterms:created>
  <dcterms:modified xsi:type="dcterms:W3CDTF">2018-10-02T09:08:00Z</dcterms:modified>
</cp:coreProperties>
</file>